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Pr="009006DD" w:rsidRDefault="008E2138">
      <w:pPr>
        <w:rPr>
          <w:rFonts w:ascii="Arial" w:hAnsi="Arial" w:cs="Arial"/>
        </w:rPr>
      </w:pPr>
    </w:p>
    <w:p w:rsidR="008E2138" w:rsidRPr="00A00A7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 xml:space="preserve">Iktatószám: </w:t>
      </w:r>
      <w:r w:rsidR="00AC69D2" w:rsidRPr="00A00A7E">
        <w:rPr>
          <w:rFonts w:ascii="Arial" w:hAnsi="Arial" w:cs="Arial"/>
        </w:rPr>
        <w:t>SZO</w:t>
      </w:r>
      <w:r w:rsidR="00EA3EF0" w:rsidRPr="00A00A7E">
        <w:rPr>
          <w:rFonts w:ascii="Arial" w:hAnsi="Arial" w:cs="Arial"/>
        </w:rPr>
        <w:t>/</w:t>
      </w:r>
      <w:r w:rsidR="0059542F" w:rsidRPr="00A00A7E">
        <w:rPr>
          <w:rFonts w:ascii="Arial" w:hAnsi="Arial" w:cs="Arial"/>
        </w:rPr>
        <w:t>51-2</w:t>
      </w:r>
      <w:r w:rsidR="00BB0413" w:rsidRPr="00A00A7E">
        <w:rPr>
          <w:rFonts w:ascii="Arial" w:hAnsi="Arial" w:cs="Arial"/>
        </w:rPr>
        <w:t>/2017</w:t>
      </w:r>
      <w:r w:rsidRPr="00A00A7E">
        <w:rPr>
          <w:rFonts w:ascii="Arial" w:hAnsi="Arial" w:cs="Arial"/>
        </w:rPr>
        <w:t>.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Napirend sorszáma:</w:t>
      </w:r>
    </w:p>
    <w:p w:rsidR="008E2138" w:rsidRPr="009006D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Előterjesztés</w:t>
      </w:r>
    </w:p>
    <w:p w:rsidR="008E2138" w:rsidRPr="009006DD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Hévíz Város Önkormányzat Képviselő-testülete</w:t>
      </w:r>
    </w:p>
    <w:p w:rsidR="008E2138" w:rsidRPr="009006DD" w:rsidRDefault="00BB0413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 xml:space="preserve">2017. </w:t>
      </w:r>
      <w:r w:rsidR="0059542F" w:rsidRPr="009006DD">
        <w:rPr>
          <w:rFonts w:ascii="Arial" w:hAnsi="Arial" w:cs="Arial"/>
          <w:b/>
        </w:rPr>
        <w:t>november 30-ai</w:t>
      </w:r>
      <w:r w:rsidR="008E2138" w:rsidRPr="009006DD">
        <w:rPr>
          <w:rFonts w:ascii="Arial" w:hAnsi="Arial" w:cs="Arial"/>
          <w:b/>
        </w:rPr>
        <w:t xml:space="preserve"> </w:t>
      </w:r>
      <w:r w:rsidR="00D1718A" w:rsidRPr="009006DD">
        <w:rPr>
          <w:rFonts w:ascii="Arial" w:hAnsi="Arial" w:cs="Arial"/>
          <w:b/>
        </w:rPr>
        <w:t>nyilvános</w:t>
      </w:r>
      <w:r w:rsidR="008E2138" w:rsidRPr="009006DD">
        <w:rPr>
          <w:rFonts w:ascii="Arial" w:hAnsi="Arial" w:cs="Arial"/>
          <w:b/>
        </w:rPr>
        <w:t xml:space="preserve"> ülésére</w:t>
      </w: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006DD" w:rsidRDefault="00BB0413" w:rsidP="008E2138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A00A7E">
        <w:rPr>
          <w:rFonts w:ascii="Arial" w:hAnsi="Arial" w:cs="Arial"/>
          <w:b/>
        </w:rPr>
        <w:t>Tárgy:</w:t>
      </w:r>
      <w:r w:rsidR="008E2138" w:rsidRPr="009006DD">
        <w:rPr>
          <w:rFonts w:ascii="Arial" w:hAnsi="Arial" w:cs="Arial"/>
          <w:b/>
          <w:color w:val="FF0000"/>
        </w:rPr>
        <w:t xml:space="preserve"> </w:t>
      </w:r>
      <w:r w:rsidR="009006DD" w:rsidRPr="009006DD">
        <w:rPr>
          <w:rFonts w:ascii="Arial" w:hAnsi="Arial" w:cs="Arial"/>
          <w:iCs/>
        </w:rPr>
        <w:t>Deák téri üzletház (Hévíz 984. hrsz.) jogi rendezése érdekében szükséges társasház alapítás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>Az előterjesztő:</w:t>
      </w:r>
      <w:r w:rsidRPr="009006DD">
        <w:rPr>
          <w:rFonts w:ascii="Arial" w:hAnsi="Arial" w:cs="Arial"/>
        </w:rPr>
        <w:t xml:space="preserve"> </w:t>
      </w:r>
      <w:r w:rsidRPr="009006DD">
        <w:rPr>
          <w:rFonts w:ascii="Arial" w:hAnsi="Arial" w:cs="Arial"/>
        </w:rPr>
        <w:tab/>
        <w:t>Papp Gábor polgármester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>Készítette</w:t>
      </w:r>
      <w:proofErr w:type="gramStart"/>
      <w:r w:rsidRPr="009006DD">
        <w:rPr>
          <w:rFonts w:ascii="Arial" w:hAnsi="Arial" w:cs="Arial"/>
          <w:b/>
        </w:rPr>
        <w:t xml:space="preserve">: </w:t>
      </w:r>
      <w:r w:rsidRPr="009006DD">
        <w:rPr>
          <w:rFonts w:ascii="Arial" w:hAnsi="Arial" w:cs="Arial"/>
        </w:rPr>
        <w:t xml:space="preserve"> </w:t>
      </w:r>
      <w:r w:rsidRPr="009006DD">
        <w:rPr>
          <w:rFonts w:ascii="Arial" w:hAnsi="Arial" w:cs="Arial"/>
        </w:rPr>
        <w:tab/>
      </w:r>
      <w:r w:rsidR="00AC69D2" w:rsidRPr="009006DD">
        <w:rPr>
          <w:rFonts w:ascii="Arial" w:hAnsi="Arial" w:cs="Arial"/>
        </w:rPr>
        <w:t>dr.</w:t>
      </w:r>
      <w:proofErr w:type="gramEnd"/>
      <w:r w:rsidR="00AC69D2" w:rsidRPr="009006DD">
        <w:rPr>
          <w:rFonts w:ascii="Arial" w:hAnsi="Arial" w:cs="Arial"/>
        </w:rPr>
        <w:t xml:space="preserve"> Keserű Klaudia jogász</w:t>
      </w:r>
    </w:p>
    <w:p w:rsidR="0059542F" w:rsidRPr="009006DD" w:rsidRDefault="0059542F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ab/>
      </w:r>
      <w:r w:rsidRPr="009006DD">
        <w:rPr>
          <w:rFonts w:ascii="Arial" w:hAnsi="Arial" w:cs="Arial"/>
        </w:rPr>
        <w:t>Dr. Farkas Ügyvédi Iroda (8380 Hévíz, Helikon u. 6.)</w:t>
      </w: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>Megtárgyalta:</w:t>
      </w:r>
      <w:r w:rsidRPr="009006DD">
        <w:rPr>
          <w:rFonts w:ascii="Arial" w:hAnsi="Arial" w:cs="Arial"/>
        </w:rPr>
        <w:t xml:space="preserve"> </w:t>
      </w:r>
      <w:r w:rsidRPr="009006DD">
        <w:rPr>
          <w:rFonts w:ascii="Arial" w:hAnsi="Arial" w:cs="Arial"/>
        </w:rPr>
        <w:tab/>
      </w:r>
      <w:r w:rsidR="0059542F" w:rsidRPr="009006DD">
        <w:rPr>
          <w:rFonts w:ascii="Arial" w:hAnsi="Arial" w:cs="Arial"/>
        </w:rPr>
        <w:t>Pénzügyi, Turisztikai és Városfejlesztési Bizottság</w:t>
      </w:r>
    </w:p>
    <w:p w:rsidR="0059542F" w:rsidRPr="009006DD" w:rsidRDefault="0059542F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  <w:t>Jogi- Ügyrendi, Szociális Bizottság</w:t>
      </w: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</w:rPr>
        <w:t xml:space="preserve">Törvényességi szempontból ellenőrizte: </w:t>
      </w:r>
      <w:r w:rsidRPr="009006DD">
        <w:rPr>
          <w:rFonts w:ascii="Arial" w:hAnsi="Arial" w:cs="Arial"/>
        </w:rPr>
        <w:t>dr. Tüske Róbert jegyző</w:t>
      </w: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ab/>
      </w:r>
      <w:r w:rsidRPr="009006DD">
        <w:rPr>
          <w:rFonts w:ascii="Arial" w:hAnsi="Arial" w:cs="Arial"/>
          <w:b/>
        </w:rPr>
        <w:tab/>
      </w:r>
    </w:p>
    <w:p w:rsidR="008E2138" w:rsidRPr="009006D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  <w:t xml:space="preserve">Papp Gábor 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  <w:t xml:space="preserve"> </w:t>
      </w:r>
      <w:proofErr w:type="gramStart"/>
      <w:r w:rsidRPr="009006DD">
        <w:rPr>
          <w:rFonts w:ascii="Arial" w:hAnsi="Arial" w:cs="Arial"/>
        </w:rPr>
        <w:t>polgármester</w:t>
      </w:r>
      <w:proofErr w:type="gramEnd"/>
    </w:p>
    <w:p w:rsidR="00C610AA" w:rsidRPr="009006DD" w:rsidRDefault="00C610AA">
      <w:pPr>
        <w:rPr>
          <w:rFonts w:ascii="Arial" w:hAnsi="Arial" w:cs="Arial"/>
        </w:rPr>
      </w:pPr>
    </w:p>
    <w:p w:rsidR="0059542F" w:rsidRPr="009006DD" w:rsidRDefault="0059542F">
      <w:pPr>
        <w:rPr>
          <w:rFonts w:ascii="Arial" w:hAnsi="Arial" w:cs="Arial"/>
        </w:rPr>
      </w:pPr>
    </w:p>
    <w:p w:rsidR="003A5529" w:rsidRPr="009006DD" w:rsidRDefault="003A5529">
      <w:pPr>
        <w:rPr>
          <w:rFonts w:ascii="Arial" w:hAnsi="Arial" w:cs="Arial"/>
        </w:rPr>
      </w:pPr>
    </w:p>
    <w:p w:rsidR="00BB0413" w:rsidRPr="009006DD" w:rsidRDefault="00BB0413">
      <w:pPr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1.</w:t>
      </w:r>
    </w:p>
    <w:p w:rsidR="00BB0413" w:rsidRPr="009006DD" w:rsidRDefault="00BB0413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Tárgy és tényállás ismertetése</w:t>
      </w: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AC69D2" w:rsidRPr="009006DD" w:rsidRDefault="00AC69D2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Tiszteit Képviselő-testület!</w:t>
      </w:r>
    </w:p>
    <w:p w:rsidR="00AC69D2" w:rsidRPr="009006DD" w:rsidRDefault="00AC69D2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</w:p>
    <w:p w:rsidR="005A3BD4" w:rsidRPr="009006DD" w:rsidRDefault="005A3BD4" w:rsidP="00BF530F">
      <w:pPr>
        <w:keepNext/>
        <w:keepLines/>
        <w:autoSpaceDE w:val="0"/>
        <w:autoSpaceDN w:val="0"/>
        <w:adjustRightInd w:val="0"/>
        <w:spacing w:after="0"/>
        <w:jc w:val="both"/>
        <w:outlineLvl w:val="6"/>
        <w:rPr>
          <w:rFonts w:ascii="Arial" w:hAnsi="Arial" w:cs="Arial"/>
          <w:iCs/>
        </w:rPr>
      </w:pPr>
      <w:r w:rsidRPr="009006DD">
        <w:rPr>
          <w:rFonts w:ascii="Arial" w:hAnsi="Arial" w:cs="Arial"/>
          <w:iCs/>
        </w:rPr>
        <w:t xml:space="preserve">Hévíz Város Önkormányzat Képviselő-testülete 133/2013. (V.24.) számú határozatában megbízta a Dr. Farkas és Társai Ügyvédi Irodát (8380 Hévíz, Helikon u. 6.) </w:t>
      </w:r>
      <w:r w:rsidR="00EE3204" w:rsidRPr="009006DD">
        <w:rPr>
          <w:rFonts w:ascii="Arial" w:hAnsi="Arial" w:cs="Arial"/>
          <w:iCs/>
        </w:rPr>
        <w:t xml:space="preserve">a </w:t>
      </w:r>
      <w:r w:rsidRPr="009006DD">
        <w:rPr>
          <w:rFonts w:ascii="Arial" w:hAnsi="Arial" w:cs="Arial"/>
          <w:iCs/>
        </w:rPr>
        <w:t>Deák téri üzletház (Hévíz 984. hrsz.) jogi rendezése érdekében szükséges társasház alapítás jogi munkái</w:t>
      </w:r>
      <w:r w:rsidR="00EE3204" w:rsidRPr="009006DD">
        <w:rPr>
          <w:rFonts w:ascii="Arial" w:hAnsi="Arial" w:cs="Arial"/>
          <w:iCs/>
        </w:rPr>
        <w:t>nak ellátásával</w:t>
      </w:r>
      <w:r w:rsidRPr="009006DD">
        <w:rPr>
          <w:rFonts w:ascii="Arial" w:hAnsi="Arial" w:cs="Arial"/>
          <w:iCs/>
        </w:rPr>
        <w:t>, továbbá azzal, hogy Hévíz Város Önkormányzatot a hatályos jogszabályok szerint megalakítandó társasház alapítási eljárásban teljes jogkörrel képviselje.</w:t>
      </w:r>
    </w:p>
    <w:p w:rsidR="005A3BD4" w:rsidRPr="009006DD" w:rsidRDefault="005A3BD4" w:rsidP="00BF530F">
      <w:pPr>
        <w:spacing w:after="0"/>
        <w:jc w:val="both"/>
        <w:rPr>
          <w:rFonts w:ascii="Arial" w:eastAsia="Calibri" w:hAnsi="Arial" w:cs="Arial"/>
        </w:rPr>
      </w:pPr>
    </w:p>
    <w:p w:rsidR="005A3BD4" w:rsidRPr="009006DD" w:rsidRDefault="008A6C1B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A Dr. Farkas Ügyvédi Iroda az Önkormányzat, valamint a Deák téri üzletház ingatlan-nyilvántartáson kívüli tulajdonosainak közössége megbízásából, a rendezetlen jogi státusz megoldására vonatkozó koncepció kidolgozását követően az épület tervrajzai alapján elkészítette a Deák téri Üzletház Társasház alapító okiratának tervezetét, melyet a Képviselő-testület a 183/2015. (VI.25.) számú határozatával elfogadott.</w:t>
      </w:r>
    </w:p>
    <w:p w:rsidR="008A6C1B" w:rsidRPr="009006DD" w:rsidRDefault="008A6C1B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8A6C1B" w:rsidRPr="009006DD" w:rsidRDefault="008A6C1B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Az Ügyvédi Iroda munkatársai egyeztetést folytattak a tulajdonostársakkal</w:t>
      </w:r>
      <w:r w:rsidR="0059542F" w:rsidRPr="009006DD">
        <w:rPr>
          <w:sz w:val="22"/>
          <w:szCs w:val="22"/>
        </w:rPr>
        <w:t>, amelynek eredményeként az alapító okirat tervezetét, az annak mellékletét képező szintenkénti alaprajzokat, valamint a földszinti kizárólagos használati viszonyokat ábrázoló alaprajzot minden érintet</w:t>
      </w:r>
      <w:r w:rsidR="00760374" w:rsidRPr="009006DD">
        <w:rPr>
          <w:sz w:val="22"/>
          <w:szCs w:val="22"/>
        </w:rPr>
        <w:t>t</w:t>
      </w:r>
      <w:r w:rsidR="0059542F" w:rsidRPr="009006DD">
        <w:rPr>
          <w:sz w:val="22"/>
          <w:szCs w:val="22"/>
        </w:rPr>
        <w:t>nek eljuttatták.</w:t>
      </w:r>
    </w:p>
    <w:p w:rsidR="0059542F" w:rsidRPr="009006DD" w:rsidRDefault="0059542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 xml:space="preserve">A tulajdonostársak egy része azonban az ügyvédi megkeresésre egyáltalán nem reagált, az okirathoz szükséges adatokat nem közölte. Emellett két tulajdonostárs az alapító okirat tervezetét nem fogadta el. </w:t>
      </w:r>
      <w:r w:rsidR="003A5529" w:rsidRPr="009006DD">
        <w:rPr>
          <w:sz w:val="22"/>
          <w:szCs w:val="22"/>
        </w:rPr>
        <w:t>Ők</w:t>
      </w:r>
      <w:r w:rsidRPr="009006DD">
        <w:rPr>
          <w:sz w:val="22"/>
          <w:szCs w:val="22"/>
        </w:rPr>
        <w:t xml:space="preserve"> az ingatlanukkal határos tároló tekintetében fogalmaztak meg olyan igényeket, amelyek kapcsán személyes egyeztetés után sem sikerült közös nevezőt kialakítani.</w:t>
      </w:r>
    </w:p>
    <w:p w:rsidR="00BF530F" w:rsidRPr="009006DD" w:rsidRDefault="00BF530F" w:rsidP="00BF530F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</w:rPr>
      </w:pPr>
    </w:p>
    <w:p w:rsidR="00BF530F" w:rsidRPr="009006DD" w:rsidRDefault="00BF530F" w:rsidP="00BF530F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</w:rPr>
      </w:pPr>
      <w:r w:rsidRPr="009006DD">
        <w:rPr>
          <w:rFonts w:ascii="Arial" w:eastAsiaTheme="minorHAnsi" w:hAnsi="Arial" w:cs="Arial"/>
        </w:rPr>
        <w:t>A társasház alapítása kétféle módon történhet. Egyfelől a felek, a későbbi tulajdonostársak akaratából, akik társasházi alapító okirat létrehozásával és annak ingatlan-nyilvántartásba történő bejegyzésével végzik el az alapítást. A másik lehetőség, amikor ezt az alapító okiratot a bíróság ítélete pótolja.</w:t>
      </w:r>
    </w:p>
    <w:p w:rsidR="0059542F" w:rsidRPr="009006DD" w:rsidRDefault="0059542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59542F" w:rsidRPr="009006DD" w:rsidRDefault="0059542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Tekintettel arra, hogy a társasház megalapítása csak és kizárólag valamennyi érintett tulajdonostárs egyetértésével, aláírásával lehetséges, a fentiek miatt a társasház alapítása sikertelen volt.</w:t>
      </w:r>
    </w:p>
    <w:p w:rsidR="005A3BD4" w:rsidRPr="009006DD" w:rsidRDefault="005A3BD4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BF530F" w:rsidRPr="009006DD" w:rsidRDefault="00BF530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A helyzet megoldására lehetőség a társasház alapításának bírói ítélettel történő kimondatása. Ezzel az alapító okirat érintettek általi aláírása helyettesíthető. Jelenleg a koncepció az, hogy a Deák téri in</w:t>
      </w:r>
      <w:r w:rsidR="00760374" w:rsidRPr="009006DD">
        <w:rPr>
          <w:sz w:val="22"/>
          <w:szCs w:val="22"/>
        </w:rPr>
        <w:t>g</w:t>
      </w:r>
      <w:r w:rsidRPr="009006DD">
        <w:rPr>
          <w:sz w:val="22"/>
          <w:szCs w:val="22"/>
        </w:rPr>
        <w:t>atlan a telektulajdonos és a ráépítők közös tulajdonában van. Ezen alapulva a közös tulajdon megszüntetése iránt indítható peres eljárás, mely során a közös tulajdon megszüntetésének lehetséges módja a társasházzá alakítás.</w:t>
      </w:r>
    </w:p>
    <w:p w:rsidR="00BF530F" w:rsidRPr="009006DD" w:rsidRDefault="00BF530F" w:rsidP="00BF530F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  <w:b/>
          <w:bCs/>
        </w:rPr>
      </w:pPr>
      <w:r w:rsidRPr="009006DD">
        <w:rPr>
          <w:rFonts w:ascii="Arial" w:hAnsi="Arial" w:cs="Arial"/>
          <w:b/>
          <w:bCs/>
        </w:rPr>
        <w:t>A Polgári Törvénykönyvről szóló 2013. évi V. törvény a következőképpen szabályozza a helyzetet: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  <w:bCs/>
        </w:rPr>
        <w:t xml:space="preserve">5:83. § </w:t>
      </w:r>
      <w:r w:rsidRPr="009006DD">
        <w:rPr>
          <w:rFonts w:ascii="Arial" w:hAnsi="Arial" w:cs="Arial"/>
          <w:iCs/>
        </w:rPr>
        <w:t>[A közös tulajdon megszüntetése iránti igény]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(1) A közös tulajdon megszüntetését bármelyik tulajdonostárs követelheti; az e jogról való lemondás semmis.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  <w:b/>
          <w:bCs/>
        </w:rPr>
        <w:t xml:space="preserve">5:84. § </w:t>
      </w:r>
      <w:r w:rsidRPr="009006DD">
        <w:rPr>
          <w:rFonts w:ascii="Arial" w:hAnsi="Arial" w:cs="Arial"/>
          <w:iCs/>
        </w:rPr>
        <w:t>[A közös tulajdon megszüntetése]</w:t>
      </w:r>
    </w:p>
    <w:p w:rsidR="00BF530F" w:rsidRPr="009006DD" w:rsidRDefault="00BF530F" w:rsidP="00BF530F">
      <w:pPr>
        <w:spacing w:after="0"/>
        <w:ind w:firstLine="204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 xml:space="preserve"> (5) Az ingatlanon fennálló közös tulajdon - ha a társasház létesítésének feltételei egyébként fennállnak - az ingatlan társasházzá alakításával is megszüntethető. Ha a közös tulajdont társasházzá alakítással a bíróság szünteti meg, a társasház alapító okiratát a bíróság ítélete pótolja.</w:t>
      </w: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A bírósági úton történő társasház-alapítás esetén valamennyi érintettnek – felperesként vagy alperesként – perben kell állnia. Technikailag ez sem egyszerűen kivitelezhető, így jobb megoldás lenne, ha az együttműködő és az alapítást támogató tulajdonostársak indítanának pert a többiek ellen, vagy a telek tulajdonosa, azaz Hévíz Város Önkormányzat perli a többieket.</w:t>
      </w: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</w:p>
    <w:p w:rsidR="00BF530F" w:rsidRPr="009006DD" w:rsidRDefault="00BF530F" w:rsidP="00BF530F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Tekintettel arra, hogy a megegyezésen alapuló Társasház-a</w:t>
      </w:r>
      <w:r w:rsidR="001A5993" w:rsidRPr="009006DD">
        <w:rPr>
          <w:rFonts w:ascii="Arial" w:hAnsi="Arial" w:cs="Arial"/>
        </w:rPr>
        <w:t xml:space="preserve">lapítás sikertelen volt, ez az </w:t>
      </w:r>
      <w:r w:rsidRPr="009006DD">
        <w:rPr>
          <w:rFonts w:ascii="Arial" w:hAnsi="Arial" w:cs="Arial"/>
        </w:rPr>
        <w:t>egyetlen útja a tényleges jogi helyzet rögzítésének.</w:t>
      </w:r>
      <w:r w:rsidR="001A5993" w:rsidRPr="009006DD">
        <w:rPr>
          <w:rFonts w:ascii="Arial" w:hAnsi="Arial" w:cs="Arial"/>
        </w:rPr>
        <w:t xml:space="preserve"> Amennyiben Tisztelt Képviselő-testület e mellett a lehetőség mellett dönt, úgy az eljárás továbbvitelével a dr. Farkas Ügyvédi Iroda megbízásának meghosszabbítása lenne célszerű. Ebben az esetben az Iroda munkatársai a per költségvonzatait kikalkulálják, valamint kidolgozzák a koncepció részleteit is.</w:t>
      </w:r>
      <w:r w:rsidR="003A5529" w:rsidRPr="009006DD">
        <w:rPr>
          <w:rFonts w:ascii="Arial" w:hAnsi="Arial" w:cs="Arial"/>
        </w:rPr>
        <w:t xml:space="preserve"> Amennyiben a Testület amellett dönt, hogy az Önkormányzat ne indítson pert, úgy a tulajdonosok továbbra is ingatlan-nyilvántartáson kívüli tulajdonosok maradnak, míg a terület beépítetlen terület.</w:t>
      </w:r>
    </w:p>
    <w:p w:rsidR="00BF530F" w:rsidRPr="009006DD" w:rsidRDefault="00BF530F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527169" w:rsidRPr="009006DD" w:rsidRDefault="00527169" w:rsidP="00530BBC">
      <w:pPr>
        <w:spacing w:after="0"/>
        <w:jc w:val="both"/>
        <w:rPr>
          <w:rFonts w:ascii="Arial" w:hAnsi="Arial" w:cs="Arial"/>
        </w:rPr>
      </w:pPr>
    </w:p>
    <w:p w:rsidR="002526E6" w:rsidRPr="009006DD" w:rsidRDefault="002526E6" w:rsidP="00527169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Tisztelt Képviselő-testület!</w:t>
      </w:r>
    </w:p>
    <w:p w:rsidR="002526E6" w:rsidRPr="009006DD" w:rsidRDefault="002526E6" w:rsidP="00527169">
      <w:pPr>
        <w:spacing w:after="0"/>
        <w:jc w:val="both"/>
        <w:rPr>
          <w:rFonts w:ascii="Arial" w:hAnsi="Arial" w:cs="Arial"/>
        </w:rPr>
      </w:pPr>
    </w:p>
    <w:p w:rsidR="002526E6" w:rsidRPr="009006DD" w:rsidRDefault="002526E6" w:rsidP="00527169">
      <w:pPr>
        <w:spacing w:after="0"/>
        <w:jc w:val="both"/>
        <w:outlineLvl w:val="0"/>
        <w:rPr>
          <w:rFonts w:ascii="Arial" w:hAnsi="Arial" w:cs="Arial"/>
        </w:rPr>
      </w:pPr>
      <w:r w:rsidRPr="009006DD">
        <w:rPr>
          <w:rFonts w:ascii="Arial" w:hAnsi="Arial" w:cs="Arial"/>
        </w:rPr>
        <w:t>Kérem, az előterjesztést megvitatni, és a határozati javaslatot elfogadni szíveskedjenek!</w:t>
      </w:r>
    </w:p>
    <w:p w:rsidR="00801CE1" w:rsidRPr="009006DD" w:rsidRDefault="0038115A" w:rsidP="00527169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A döntés egyszerű szótöbbséget igényel.</w:t>
      </w:r>
    </w:p>
    <w:p w:rsidR="002526E6" w:rsidRPr="009006DD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E10E9" w:rsidRPr="009006DD" w:rsidRDefault="000E10E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A00A7E" w:rsidRDefault="00A00A7E" w:rsidP="009006DD">
      <w:pPr>
        <w:spacing w:after="0" w:line="240" w:lineRule="auto"/>
        <w:jc w:val="center"/>
        <w:rPr>
          <w:rFonts w:ascii="Arial" w:hAnsi="Arial" w:cs="Arial"/>
          <w:b/>
        </w:rPr>
      </w:pPr>
    </w:p>
    <w:p w:rsidR="000A49BD" w:rsidRDefault="008E2138" w:rsidP="009006DD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 xml:space="preserve">2. </w:t>
      </w:r>
    </w:p>
    <w:p w:rsidR="00A00A7E" w:rsidRPr="009006DD" w:rsidRDefault="00A00A7E" w:rsidP="009006DD">
      <w:pPr>
        <w:spacing w:after="0" w:line="240" w:lineRule="auto"/>
        <w:jc w:val="center"/>
        <w:rPr>
          <w:rFonts w:ascii="Arial" w:hAnsi="Arial" w:cs="Arial"/>
          <w:b/>
        </w:rPr>
      </w:pPr>
    </w:p>
    <w:p w:rsidR="000A49BD" w:rsidRPr="009006DD" w:rsidRDefault="000A49BD" w:rsidP="009006DD">
      <w:pPr>
        <w:ind w:left="2832" w:firstLine="708"/>
        <w:rPr>
          <w:rFonts w:ascii="Arial" w:eastAsia="Arial" w:hAnsi="Arial" w:cs="Arial"/>
          <w:b/>
          <w:color w:val="000000"/>
          <w:lang w:eastAsia="hu-HU" w:bidi="hu-HU"/>
        </w:rPr>
      </w:pPr>
      <w:r w:rsidRPr="009006DD">
        <w:rPr>
          <w:rFonts w:ascii="Arial" w:eastAsia="Arial" w:hAnsi="Arial" w:cs="Arial"/>
          <w:b/>
          <w:color w:val="000000"/>
          <w:lang w:eastAsia="hu-HU" w:bidi="hu-HU"/>
        </w:rPr>
        <w:t>Határozati javaslat</w:t>
      </w:r>
    </w:p>
    <w:p w:rsidR="002771A5" w:rsidRPr="009006DD" w:rsidRDefault="00B216BD" w:rsidP="000A49BD">
      <w:pPr>
        <w:pStyle w:val="Listaszerbekezds"/>
        <w:numPr>
          <w:ilvl w:val="0"/>
          <w:numId w:val="27"/>
        </w:numPr>
        <w:spacing w:after="0"/>
        <w:ind w:left="993" w:right="20"/>
        <w:jc w:val="both"/>
        <w:rPr>
          <w:rFonts w:ascii="Arial" w:eastAsia="Arial" w:hAnsi="Arial" w:cs="Arial"/>
          <w:lang w:eastAsia="hu-HU" w:bidi="hu-HU"/>
        </w:rPr>
      </w:pPr>
      <w:r w:rsidRPr="009006DD">
        <w:rPr>
          <w:rFonts w:ascii="Arial" w:eastAsia="Arial" w:hAnsi="Arial" w:cs="Arial"/>
          <w:lang w:eastAsia="hu-HU" w:bidi="hu-HU"/>
        </w:rPr>
        <w:t>Hév</w:t>
      </w:r>
      <w:r w:rsidR="000A49BD" w:rsidRPr="009006DD">
        <w:rPr>
          <w:rFonts w:ascii="Arial" w:eastAsia="Arial" w:hAnsi="Arial" w:cs="Arial"/>
          <w:lang w:eastAsia="hu-HU" w:bidi="hu-HU"/>
        </w:rPr>
        <w:t>íz Város Önkormányzat Képviselő-</w:t>
      </w:r>
      <w:r w:rsidRPr="009006DD">
        <w:rPr>
          <w:rFonts w:ascii="Arial" w:eastAsia="Arial" w:hAnsi="Arial" w:cs="Arial"/>
          <w:lang w:eastAsia="hu-HU" w:bidi="hu-HU"/>
        </w:rPr>
        <w:t>testülete az előterjeszté</w:t>
      </w:r>
      <w:r w:rsidR="003F5B6A" w:rsidRPr="009006DD">
        <w:rPr>
          <w:rFonts w:ascii="Arial" w:eastAsia="Arial" w:hAnsi="Arial" w:cs="Arial"/>
          <w:lang w:eastAsia="hu-HU" w:bidi="hu-HU"/>
        </w:rPr>
        <w:t>sben foglaltakat megismerte</w:t>
      </w:r>
      <w:r w:rsidR="000A49BD" w:rsidRPr="009006DD">
        <w:rPr>
          <w:rFonts w:ascii="Arial" w:eastAsia="Arial" w:hAnsi="Arial" w:cs="Arial"/>
          <w:lang w:eastAsia="hu-HU" w:bidi="hu-HU"/>
        </w:rPr>
        <w:t xml:space="preserve">, és </w:t>
      </w:r>
      <w:r w:rsidR="002771A5" w:rsidRPr="009006DD">
        <w:rPr>
          <w:rFonts w:ascii="Arial" w:eastAsia="Arial" w:hAnsi="Arial" w:cs="Arial"/>
          <w:lang w:eastAsia="hu-HU" w:bidi="hu-HU"/>
        </w:rPr>
        <w:t xml:space="preserve">kinyilvánítja, továbbra is célja </w:t>
      </w:r>
      <w:r w:rsidR="000A49BD" w:rsidRPr="009006DD">
        <w:rPr>
          <w:rFonts w:ascii="Arial" w:eastAsia="Arial" w:hAnsi="Arial" w:cs="Arial"/>
          <w:lang w:eastAsia="hu-HU" w:bidi="hu-HU"/>
        </w:rPr>
        <w:t>a Hévíz, Deák téri Üzletház</w:t>
      </w:r>
      <w:r w:rsidR="00A00A7E">
        <w:rPr>
          <w:rFonts w:ascii="Arial" w:eastAsia="Arial" w:hAnsi="Arial" w:cs="Arial"/>
          <w:lang w:eastAsia="hu-HU" w:bidi="hu-HU"/>
        </w:rPr>
        <w:t>,</w:t>
      </w:r>
      <w:r w:rsidR="000A49BD" w:rsidRPr="009006DD">
        <w:rPr>
          <w:rFonts w:ascii="Arial" w:eastAsia="Arial" w:hAnsi="Arial" w:cs="Arial"/>
          <w:lang w:eastAsia="hu-HU" w:bidi="hu-HU"/>
        </w:rPr>
        <w:t xml:space="preserve"> </w:t>
      </w:r>
      <w:r w:rsidR="00A00A7E">
        <w:rPr>
          <w:rFonts w:ascii="Arial" w:eastAsia="Arial" w:hAnsi="Arial" w:cs="Arial"/>
          <w:lang w:eastAsia="hu-HU" w:bidi="hu-HU"/>
        </w:rPr>
        <w:t>mint t</w:t>
      </w:r>
      <w:r w:rsidR="000A49BD" w:rsidRPr="009006DD">
        <w:rPr>
          <w:rFonts w:ascii="Arial" w:eastAsia="Arial" w:hAnsi="Arial" w:cs="Arial"/>
          <w:lang w:eastAsia="hu-HU" w:bidi="hu-HU"/>
        </w:rPr>
        <w:t>ársasház jogi rendezése</w:t>
      </w:r>
      <w:r w:rsidR="002771A5" w:rsidRPr="009006DD">
        <w:rPr>
          <w:rFonts w:ascii="Arial" w:eastAsia="Arial" w:hAnsi="Arial" w:cs="Arial"/>
          <w:lang w:eastAsia="hu-HU" w:bidi="hu-HU"/>
        </w:rPr>
        <w:t>.</w:t>
      </w:r>
      <w:r w:rsidR="000A49BD" w:rsidRPr="009006DD">
        <w:rPr>
          <w:rFonts w:ascii="Arial" w:eastAsia="Arial" w:hAnsi="Arial" w:cs="Arial"/>
          <w:lang w:eastAsia="hu-HU" w:bidi="hu-HU"/>
        </w:rPr>
        <w:t xml:space="preserve"> </w:t>
      </w:r>
    </w:p>
    <w:p w:rsidR="002771A5" w:rsidRPr="009006DD" w:rsidRDefault="002771A5" w:rsidP="002771A5">
      <w:pPr>
        <w:pStyle w:val="Listaszerbekezds"/>
        <w:spacing w:after="0"/>
        <w:ind w:left="993" w:right="20"/>
        <w:jc w:val="both"/>
        <w:rPr>
          <w:rFonts w:ascii="Arial" w:eastAsia="Arial" w:hAnsi="Arial" w:cs="Arial"/>
          <w:lang w:eastAsia="hu-HU" w:bidi="hu-HU"/>
        </w:rPr>
      </w:pPr>
    </w:p>
    <w:p w:rsidR="003F5B6A" w:rsidRPr="009006DD" w:rsidRDefault="00B216BD" w:rsidP="009006DD">
      <w:pPr>
        <w:pStyle w:val="Listaszerbekezds"/>
        <w:numPr>
          <w:ilvl w:val="0"/>
          <w:numId w:val="27"/>
        </w:numPr>
        <w:spacing w:after="0"/>
        <w:ind w:left="993" w:right="20"/>
        <w:jc w:val="both"/>
        <w:rPr>
          <w:rFonts w:ascii="Arial" w:eastAsia="Arial" w:hAnsi="Arial" w:cs="Arial"/>
          <w:lang w:eastAsia="hu-HU" w:bidi="hu-HU"/>
        </w:rPr>
      </w:pPr>
      <w:r w:rsidRPr="009006DD">
        <w:rPr>
          <w:rFonts w:ascii="Arial" w:eastAsia="Arial" w:hAnsi="Arial" w:cs="Arial"/>
          <w:lang w:eastAsia="hu-HU" w:bidi="hu-HU"/>
        </w:rPr>
        <w:t xml:space="preserve">A Képviselő-testület </w:t>
      </w:r>
      <w:r w:rsidR="009006DD" w:rsidRPr="009006DD">
        <w:rPr>
          <w:rFonts w:ascii="Arial" w:eastAsia="Arial" w:hAnsi="Arial" w:cs="Arial"/>
          <w:lang w:eastAsia="hu-HU" w:bidi="hu-HU"/>
        </w:rPr>
        <w:t>felkéri a D</w:t>
      </w:r>
      <w:r w:rsidR="000A49BD" w:rsidRPr="009006DD">
        <w:rPr>
          <w:rFonts w:ascii="Arial" w:eastAsia="Arial" w:hAnsi="Arial" w:cs="Arial"/>
          <w:lang w:eastAsia="hu-HU" w:bidi="hu-HU"/>
        </w:rPr>
        <w:t>r. Farkas Ügyvédi Irodát, hogy a</w:t>
      </w:r>
      <w:r w:rsidR="009006DD" w:rsidRPr="009006DD">
        <w:rPr>
          <w:rFonts w:ascii="Arial" w:eastAsia="Arial" w:hAnsi="Arial" w:cs="Arial"/>
          <w:lang w:eastAsia="hu-HU" w:bidi="hu-HU"/>
        </w:rPr>
        <w:t>z esetleges</w:t>
      </w:r>
      <w:r w:rsidR="000A49BD" w:rsidRPr="009006DD">
        <w:rPr>
          <w:rFonts w:ascii="Arial" w:eastAsia="Arial" w:hAnsi="Arial" w:cs="Arial"/>
          <w:lang w:eastAsia="hu-HU" w:bidi="hu-HU"/>
        </w:rPr>
        <w:t xml:space="preserve"> peres eljárás koncepciójá</w:t>
      </w:r>
      <w:r w:rsidR="00A00A7E">
        <w:rPr>
          <w:rFonts w:ascii="Arial" w:eastAsia="Arial" w:hAnsi="Arial" w:cs="Arial"/>
          <w:lang w:eastAsia="hu-HU" w:bidi="hu-HU"/>
        </w:rPr>
        <w:t>t</w:t>
      </w:r>
      <w:r w:rsidR="000A49BD" w:rsidRPr="009006DD">
        <w:rPr>
          <w:rFonts w:ascii="Arial" w:eastAsia="Arial" w:hAnsi="Arial" w:cs="Arial"/>
          <w:lang w:eastAsia="hu-HU" w:bidi="hu-HU"/>
        </w:rPr>
        <w:t xml:space="preserve">, valamint annak költségvonzatait dolgozzák ki, és </w:t>
      </w:r>
      <w:r w:rsidR="00A00A7E">
        <w:rPr>
          <w:rFonts w:ascii="Arial" w:eastAsia="Arial" w:hAnsi="Arial" w:cs="Arial"/>
          <w:lang w:eastAsia="hu-HU" w:bidi="hu-HU"/>
        </w:rPr>
        <w:t>az jóváhagyásra kerüljön a képviselő-testület elé.</w:t>
      </w:r>
    </w:p>
    <w:p w:rsidR="000A49BD" w:rsidRPr="009006DD" w:rsidRDefault="000A49BD" w:rsidP="000A49BD">
      <w:pPr>
        <w:pStyle w:val="Listaszerbekezds"/>
        <w:rPr>
          <w:rFonts w:ascii="Arial" w:eastAsia="Arial" w:hAnsi="Arial" w:cs="Arial"/>
          <w:color w:val="000000"/>
          <w:lang w:eastAsia="hu-HU" w:bidi="hu-HU"/>
        </w:rPr>
      </w:pPr>
    </w:p>
    <w:p w:rsidR="000A49BD" w:rsidRPr="009006DD" w:rsidRDefault="000A49BD" w:rsidP="000A49BD">
      <w:pPr>
        <w:pStyle w:val="Listaszerbekezds"/>
        <w:autoSpaceDE w:val="0"/>
        <w:autoSpaceDN w:val="0"/>
        <w:adjustRightInd w:val="0"/>
        <w:spacing w:after="0"/>
        <w:ind w:left="993" w:right="20"/>
        <w:jc w:val="both"/>
        <w:outlineLvl w:val="0"/>
        <w:rPr>
          <w:rFonts w:ascii="Arial" w:eastAsia="Arial" w:hAnsi="Arial" w:cs="Arial"/>
          <w:color w:val="000000"/>
          <w:lang w:eastAsia="hu-HU" w:bidi="hu-H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3F5B6A" w:rsidRPr="009006DD" w:rsidTr="00020AC2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9006DD">
              <w:rPr>
                <w:rFonts w:ascii="Arial" w:hAnsi="Arial" w:cs="Arial"/>
                <w:i/>
                <w:iCs/>
              </w:rPr>
              <w:t xml:space="preserve"> 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3F5B6A" w:rsidRPr="009006DD" w:rsidTr="00020AC2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  <w:r w:rsidRPr="009006DD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  <w:r w:rsidR="000A49BD" w:rsidRPr="009006DD">
              <w:rPr>
                <w:rFonts w:ascii="Arial" w:hAnsi="Arial" w:cs="Arial"/>
              </w:rPr>
              <w:t>2018. január</w:t>
            </w:r>
            <w:r w:rsidRPr="009006DD">
              <w:rPr>
                <w:rFonts w:ascii="Arial" w:hAnsi="Arial" w:cs="Arial"/>
              </w:rPr>
              <w:t xml:space="preserve"> </w:t>
            </w:r>
            <w:r w:rsidR="000A49BD" w:rsidRPr="009006DD">
              <w:rPr>
                <w:rFonts w:ascii="Arial" w:hAnsi="Arial" w:cs="Arial"/>
              </w:rPr>
              <w:t>31</w:t>
            </w:r>
            <w:r w:rsidRPr="009006DD">
              <w:rPr>
                <w:rFonts w:ascii="Arial" w:hAnsi="Arial" w:cs="Arial"/>
              </w:rPr>
              <w:t>.</w:t>
            </w:r>
          </w:p>
          <w:p w:rsidR="003F5B6A" w:rsidRPr="009006DD" w:rsidRDefault="003F5B6A" w:rsidP="003F5B6A">
            <w:pPr>
              <w:spacing w:after="0"/>
              <w:ind w:left="567"/>
              <w:rPr>
                <w:rFonts w:ascii="Arial" w:hAnsi="Arial" w:cs="Arial"/>
              </w:rPr>
            </w:pPr>
          </w:p>
        </w:tc>
      </w:tr>
    </w:tbl>
    <w:p w:rsidR="009733EB" w:rsidRPr="009006DD" w:rsidRDefault="009733EB" w:rsidP="00241CB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C69D2" w:rsidRPr="009006DD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BB52FA" w:rsidRPr="009006DD" w:rsidRDefault="00BB52FA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C69D2" w:rsidRPr="009006DD" w:rsidRDefault="00AC69D2" w:rsidP="00241CB6">
      <w:pPr>
        <w:pStyle w:val="Listaszerbekezds"/>
        <w:widowControl w:val="0"/>
        <w:numPr>
          <w:ilvl w:val="0"/>
          <w:numId w:val="21"/>
        </w:numPr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9006DD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3.</w:t>
      </w: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Bizottsági állásfoglalás</w:t>
      </w: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78290B" w:rsidRPr="009006DD" w:rsidRDefault="00033F93" w:rsidP="00033F93">
      <w:pPr>
        <w:tabs>
          <w:tab w:val="left" w:pos="4035"/>
        </w:tabs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="0078290B" w:rsidRPr="009006DD">
        <w:rPr>
          <w:rFonts w:ascii="Arial" w:hAnsi="Arial" w:cs="Arial"/>
        </w:rPr>
        <w:br w:type="page"/>
      </w:r>
    </w:p>
    <w:p w:rsidR="0078290B" w:rsidRPr="009006DD" w:rsidRDefault="0078290B">
      <w:pPr>
        <w:rPr>
          <w:rFonts w:ascii="Arial" w:hAnsi="Arial" w:cs="Arial"/>
        </w:rPr>
        <w:sectPr w:rsidR="0078290B" w:rsidRPr="009006DD" w:rsidSect="00801CE1">
          <w:footerReference w:type="even" r:id="rId9"/>
          <w:footerReference w:type="default" r:id="rId10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:rsidR="008E2138" w:rsidRPr="009006DD" w:rsidRDefault="008E2138" w:rsidP="00B84E8F">
      <w:pPr>
        <w:ind w:left="709"/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5.</w:t>
      </w:r>
    </w:p>
    <w:p w:rsidR="008E2138" w:rsidRPr="009006DD" w:rsidRDefault="008E2138" w:rsidP="008E2138">
      <w:pPr>
        <w:jc w:val="center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>Felülvizsgálatok - egyeztetések</w:t>
      </w:r>
    </w:p>
    <w:p w:rsidR="008E2138" w:rsidRPr="009006D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006DD" w:rsidTr="00B84E8F">
        <w:tc>
          <w:tcPr>
            <w:tcW w:w="9959" w:type="dxa"/>
            <w:gridSpan w:val="4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9006DD" w:rsidTr="00B84E8F">
        <w:trPr>
          <w:trHeight w:val="422"/>
        </w:trPr>
        <w:tc>
          <w:tcPr>
            <w:tcW w:w="230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9006DD" w:rsidTr="00B84E8F">
        <w:trPr>
          <w:trHeight w:val="697"/>
        </w:trPr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006DD" w:rsidTr="00B84E8F">
        <w:trPr>
          <w:trHeight w:val="573"/>
        </w:trPr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2777B3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pénzügyi ellenőrzés</w:t>
            </w: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006DD" w:rsidTr="00B84E8F"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006DD" w:rsidRDefault="008E2138" w:rsidP="00B84E8F">
      <w:pPr>
        <w:jc w:val="center"/>
        <w:rPr>
          <w:rFonts w:ascii="Arial" w:hAnsi="Arial" w:cs="Arial"/>
          <w:b/>
        </w:rPr>
      </w:pPr>
    </w:p>
    <w:tbl>
      <w:tblPr>
        <w:tblW w:w="9934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006DD" w:rsidTr="00B84E8F">
        <w:trPr>
          <w:trHeight w:val="277"/>
        </w:trPr>
        <w:tc>
          <w:tcPr>
            <w:tcW w:w="9934" w:type="dxa"/>
            <w:gridSpan w:val="4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9006DD" w:rsidTr="00B84E8F">
        <w:trPr>
          <w:trHeight w:val="277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9006DD" w:rsidTr="00B84E8F">
        <w:trPr>
          <w:trHeight w:val="707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9006DD" w:rsidTr="00B84E8F">
        <w:trPr>
          <w:trHeight w:val="829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9006DD" w:rsidRDefault="008E2138" w:rsidP="00B84E8F">
      <w:pPr>
        <w:jc w:val="center"/>
        <w:rPr>
          <w:rFonts w:ascii="Arial" w:hAnsi="Arial" w:cs="Arial"/>
          <w:b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sectPr w:rsidR="008E2138" w:rsidRPr="009006DD" w:rsidSect="00B84E8F">
      <w:pgSz w:w="11906" w:h="16838"/>
      <w:pgMar w:top="567" w:right="1417" w:bottom="426" w:left="426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022" w:rsidRDefault="00662022">
      <w:pPr>
        <w:spacing w:after="0" w:line="240" w:lineRule="auto"/>
      </w:pPr>
      <w:r>
        <w:separator/>
      </w:r>
    </w:p>
  </w:endnote>
  <w:endnote w:type="continuationSeparator" w:id="0">
    <w:p w:rsidR="00662022" w:rsidRDefault="00662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00A7E" w:rsidRPr="00A00A7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00A7E" w:rsidRPr="00A00A7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022" w:rsidRDefault="00662022">
      <w:pPr>
        <w:spacing w:after="0" w:line="240" w:lineRule="auto"/>
      </w:pPr>
      <w:r>
        <w:separator/>
      </w:r>
    </w:p>
  </w:footnote>
  <w:footnote w:type="continuationSeparator" w:id="0">
    <w:p w:rsidR="00662022" w:rsidRDefault="00662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15CC5C38"/>
    <w:multiLevelType w:val="hybridMultilevel"/>
    <w:tmpl w:val="17F20930"/>
    <w:lvl w:ilvl="0" w:tplc="1CF0A92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928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810E98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D3283A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44C61"/>
    <w:multiLevelType w:val="hybridMultilevel"/>
    <w:tmpl w:val="BEF09E9A"/>
    <w:lvl w:ilvl="0" w:tplc="43E04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6B53903"/>
    <w:multiLevelType w:val="hybridMultilevel"/>
    <w:tmpl w:val="93989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6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629A6FB1"/>
    <w:multiLevelType w:val="hybridMultilevel"/>
    <w:tmpl w:val="B3F8E60A"/>
    <w:lvl w:ilvl="0" w:tplc="CFC07A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43468C"/>
    <w:multiLevelType w:val="hybridMultilevel"/>
    <w:tmpl w:val="D4DC9AB6"/>
    <w:lvl w:ilvl="0" w:tplc="165AC5C6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6"/>
  </w:num>
  <w:num w:numId="4">
    <w:abstractNumId w:val="25"/>
  </w:num>
  <w:num w:numId="5">
    <w:abstractNumId w:val="21"/>
  </w:num>
  <w:num w:numId="6">
    <w:abstractNumId w:val="3"/>
  </w:num>
  <w:num w:numId="7">
    <w:abstractNumId w:val="24"/>
  </w:num>
  <w:num w:numId="8">
    <w:abstractNumId w:val="19"/>
  </w:num>
  <w:num w:numId="9">
    <w:abstractNumId w:val="18"/>
  </w:num>
  <w:num w:numId="10">
    <w:abstractNumId w:val="5"/>
  </w:num>
  <w:num w:numId="11">
    <w:abstractNumId w:val="22"/>
  </w:num>
  <w:num w:numId="12">
    <w:abstractNumId w:val="23"/>
  </w:num>
  <w:num w:numId="13">
    <w:abstractNumId w:val="6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5"/>
  </w:num>
  <w:num w:numId="19">
    <w:abstractNumId w:val="2"/>
  </w:num>
  <w:num w:numId="20">
    <w:abstractNumId w:val="9"/>
  </w:num>
  <w:num w:numId="21">
    <w:abstractNumId w:val="14"/>
  </w:num>
  <w:num w:numId="22">
    <w:abstractNumId w:val="1"/>
  </w:num>
  <w:num w:numId="23">
    <w:abstractNumId w:val="0"/>
    <w:lvlOverride w:ilvl="0">
      <w:startOverride w:val="1"/>
    </w:lvlOverride>
  </w:num>
  <w:num w:numId="24">
    <w:abstractNumId w:val="4"/>
  </w:num>
  <w:num w:numId="25">
    <w:abstractNumId w:val="10"/>
  </w:num>
  <w:num w:numId="26">
    <w:abstractNumId w:val="2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268E2"/>
    <w:rsid w:val="00033F93"/>
    <w:rsid w:val="00086D66"/>
    <w:rsid w:val="000A49BD"/>
    <w:rsid w:val="000B6008"/>
    <w:rsid w:val="000B7EF6"/>
    <w:rsid w:val="000E10E9"/>
    <w:rsid w:val="0013687B"/>
    <w:rsid w:val="0019028C"/>
    <w:rsid w:val="001A5993"/>
    <w:rsid w:val="001A7EDE"/>
    <w:rsid w:val="001D13D4"/>
    <w:rsid w:val="001E5D0E"/>
    <w:rsid w:val="00201700"/>
    <w:rsid w:val="00202BBF"/>
    <w:rsid w:val="00206734"/>
    <w:rsid w:val="00222085"/>
    <w:rsid w:val="00230F01"/>
    <w:rsid w:val="00241CB6"/>
    <w:rsid w:val="002526E6"/>
    <w:rsid w:val="00253C46"/>
    <w:rsid w:val="002771A5"/>
    <w:rsid w:val="002777B3"/>
    <w:rsid w:val="002A18EB"/>
    <w:rsid w:val="002E0704"/>
    <w:rsid w:val="002F180C"/>
    <w:rsid w:val="0033328F"/>
    <w:rsid w:val="0038115A"/>
    <w:rsid w:val="003A1D79"/>
    <w:rsid w:val="003A5529"/>
    <w:rsid w:val="003B287B"/>
    <w:rsid w:val="003F5B6A"/>
    <w:rsid w:val="00417054"/>
    <w:rsid w:val="00434DB4"/>
    <w:rsid w:val="00455ED0"/>
    <w:rsid w:val="00467BC1"/>
    <w:rsid w:val="00467E42"/>
    <w:rsid w:val="004E2706"/>
    <w:rsid w:val="00527169"/>
    <w:rsid w:val="00530BBC"/>
    <w:rsid w:val="00550400"/>
    <w:rsid w:val="00561CCB"/>
    <w:rsid w:val="0056466D"/>
    <w:rsid w:val="00572CC5"/>
    <w:rsid w:val="0059542F"/>
    <w:rsid w:val="005A3BD4"/>
    <w:rsid w:val="005B78D2"/>
    <w:rsid w:val="005E5DF1"/>
    <w:rsid w:val="005F1BA2"/>
    <w:rsid w:val="00627A97"/>
    <w:rsid w:val="0063334E"/>
    <w:rsid w:val="00662022"/>
    <w:rsid w:val="00674DD0"/>
    <w:rsid w:val="006761B6"/>
    <w:rsid w:val="006A49B8"/>
    <w:rsid w:val="006D26F8"/>
    <w:rsid w:val="006F774A"/>
    <w:rsid w:val="00700F26"/>
    <w:rsid w:val="007057CC"/>
    <w:rsid w:val="00707759"/>
    <w:rsid w:val="00707B7C"/>
    <w:rsid w:val="00725F68"/>
    <w:rsid w:val="00727EB9"/>
    <w:rsid w:val="00757419"/>
    <w:rsid w:val="00760374"/>
    <w:rsid w:val="0077433B"/>
    <w:rsid w:val="0078290B"/>
    <w:rsid w:val="007B21BF"/>
    <w:rsid w:val="007B76DE"/>
    <w:rsid w:val="007E7784"/>
    <w:rsid w:val="007F41B3"/>
    <w:rsid w:val="00801CE1"/>
    <w:rsid w:val="008103B3"/>
    <w:rsid w:val="00815352"/>
    <w:rsid w:val="0082022D"/>
    <w:rsid w:val="00823E3A"/>
    <w:rsid w:val="00861ABC"/>
    <w:rsid w:val="008A0B3E"/>
    <w:rsid w:val="008A1045"/>
    <w:rsid w:val="008A6C1B"/>
    <w:rsid w:val="008E2138"/>
    <w:rsid w:val="009006DD"/>
    <w:rsid w:val="009023E1"/>
    <w:rsid w:val="00922AC0"/>
    <w:rsid w:val="009733EB"/>
    <w:rsid w:val="00983DD3"/>
    <w:rsid w:val="009D2A2E"/>
    <w:rsid w:val="009E21D5"/>
    <w:rsid w:val="009E7F79"/>
    <w:rsid w:val="00A00A7E"/>
    <w:rsid w:val="00A27D0E"/>
    <w:rsid w:val="00A4666C"/>
    <w:rsid w:val="00A7631D"/>
    <w:rsid w:val="00A82FC3"/>
    <w:rsid w:val="00AC69D2"/>
    <w:rsid w:val="00AE3658"/>
    <w:rsid w:val="00B10AAF"/>
    <w:rsid w:val="00B216BD"/>
    <w:rsid w:val="00B22711"/>
    <w:rsid w:val="00B25AC2"/>
    <w:rsid w:val="00B4781D"/>
    <w:rsid w:val="00B6673F"/>
    <w:rsid w:val="00B7637F"/>
    <w:rsid w:val="00B76DE6"/>
    <w:rsid w:val="00B84E8F"/>
    <w:rsid w:val="00BA5BD6"/>
    <w:rsid w:val="00BB0413"/>
    <w:rsid w:val="00BB52FA"/>
    <w:rsid w:val="00BD1EF0"/>
    <w:rsid w:val="00BE37A6"/>
    <w:rsid w:val="00BE5A4E"/>
    <w:rsid w:val="00BE75E7"/>
    <w:rsid w:val="00BF530F"/>
    <w:rsid w:val="00C20D52"/>
    <w:rsid w:val="00C52AF2"/>
    <w:rsid w:val="00C610AA"/>
    <w:rsid w:val="00D1718A"/>
    <w:rsid w:val="00D65B53"/>
    <w:rsid w:val="00D83F99"/>
    <w:rsid w:val="00DD698C"/>
    <w:rsid w:val="00E35C1F"/>
    <w:rsid w:val="00E409D5"/>
    <w:rsid w:val="00E6667C"/>
    <w:rsid w:val="00E71133"/>
    <w:rsid w:val="00E738B7"/>
    <w:rsid w:val="00EA3EF0"/>
    <w:rsid w:val="00EB7B30"/>
    <w:rsid w:val="00EE3204"/>
    <w:rsid w:val="00F029F6"/>
    <w:rsid w:val="00F5262D"/>
    <w:rsid w:val="00F63C3D"/>
    <w:rsid w:val="00F87B4D"/>
    <w:rsid w:val="00FA3F88"/>
    <w:rsid w:val="00FA586E"/>
    <w:rsid w:val="00FD5B30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table" w:styleId="Rcsostblzat">
    <w:name w:val="Table Grid"/>
    <w:basedOn w:val="Normltblzat"/>
    <w:uiPriority w:val="39"/>
    <w:rsid w:val="00820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84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E8F"/>
    <w:rPr>
      <w:rFonts w:ascii="Calibri" w:eastAsia="Times New Roman" w:hAnsi="Calibri" w:cs="Times New Roman"/>
      <w:sz w:val="22"/>
      <w:szCs w:val="22"/>
    </w:rPr>
  </w:style>
  <w:style w:type="paragraph" w:styleId="Nincstrkz">
    <w:name w:val="No Spacing"/>
    <w:basedOn w:val="Norml"/>
    <w:uiPriority w:val="99"/>
    <w:qFormat/>
    <w:rsid w:val="00033F93"/>
    <w:pPr>
      <w:spacing w:after="0" w:line="240" w:lineRule="auto"/>
    </w:pPr>
    <w:rPr>
      <w:rFonts w:eastAsiaTheme="minorHAnsi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5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5D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9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4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5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552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13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64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166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71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99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737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3</cp:revision>
  <cp:lastPrinted>2017-05-18T08:30:00Z</cp:lastPrinted>
  <dcterms:created xsi:type="dcterms:W3CDTF">2017-11-16T13:38:00Z</dcterms:created>
  <dcterms:modified xsi:type="dcterms:W3CDTF">2017-11-16T13:57:00Z</dcterms:modified>
</cp:coreProperties>
</file>